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C0C2D" w:rsidRPr="002C0C2D" w:rsidTr="002C0C2D">
        <w:trPr>
          <w:trHeight w:val="810"/>
          <w:tblCellSpacing w:w="0" w:type="dxa"/>
          <w:jc w:val="center"/>
        </w:trPr>
        <w:tc>
          <w:tcPr>
            <w:tcW w:w="0" w:type="auto"/>
            <w:vAlign w:val="center"/>
            <w:hideMark/>
          </w:tcPr>
          <w:p w:rsidR="002C0C2D" w:rsidRPr="002C0C2D" w:rsidRDefault="002C0C2D" w:rsidP="002C0C2D">
            <w:pPr>
              <w:widowControl/>
              <w:wordWrap w:val="0"/>
              <w:spacing w:before="100" w:beforeAutospacing="1"/>
              <w:jc w:val="center"/>
              <w:outlineLvl w:val="2"/>
              <w:rPr>
                <w:rFonts w:ascii="Tahoma" w:eastAsia="宋体" w:hAnsi="Tahoma" w:cs="Tahoma"/>
                <w:b/>
                <w:bCs/>
                <w:color w:val="333333"/>
                <w:kern w:val="0"/>
                <w:sz w:val="27"/>
                <w:szCs w:val="27"/>
              </w:rPr>
            </w:pPr>
            <w:r w:rsidRPr="002C0C2D">
              <w:rPr>
                <w:rFonts w:ascii="Tahoma" w:eastAsia="宋体" w:hAnsi="Tahoma" w:cs="Tahoma"/>
                <w:b/>
                <w:bCs/>
                <w:color w:val="333333"/>
                <w:kern w:val="0"/>
                <w:sz w:val="27"/>
                <w:szCs w:val="27"/>
              </w:rPr>
              <w:t>关于印发《杭州市科技创新券实施管理办法》的通知</w:t>
            </w:r>
            <w:r w:rsidRPr="002C0C2D">
              <w:rPr>
                <w:rFonts w:ascii="Tahoma" w:eastAsia="宋体" w:hAnsi="Tahoma" w:cs="Tahoma"/>
                <w:b/>
                <w:bCs/>
                <w:color w:val="333333"/>
                <w:kern w:val="0"/>
                <w:sz w:val="27"/>
                <w:szCs w:val="27"/>
              </w:rPr>
              <w:t xml:space="preserve"> </w:t>
            </w:r>
          </w:p>
        </w:tc>
      </w:tr>
      <w:tr w:rsidR="002C0C2D" w:rsidRPr="002C0C2D" w:rsidTr="002C0C2D">
        <w:trPr>
          <w:trHeight w:val="600"/>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762"/>
              <w:gridCol w:w="1473"/>
              <w:gridCol w:w="3082"/>
              <w:gridCol w:w="1574"/>
            </w:tblGrid>
            <w:tr w:rsidR="002C0C2D" w:rsidRPr="002C0C2D">
              <w:trPr>
                <w:trHeight w:val="600"/>
                <w:tblCellSpacing w:w="0" w:type="dxa"/>
                <w:jc w:val="center"/>
              </w:trPr>
              <w:tc>
                <w:tcPr>
                  <w:tcW w:w="0" w:type="auto"/>
                  <w:hideMark/>
                </w:tcPr>
                <w:p w:rsidR="002C0C2D" w:rsidRPr="002C0C2D" w:rsidRDefault="002C0C2D" w:rsidP="002C0C2D">
                  <w:pPr>
                    <w:widowControl/>
                    <w:wordWrap w:val="0"/>
                    <w:jc w:val="left"/>
                    <w:rPr>
                      <w:rFonts w:ascii="Tahoma" w:eastAsia="宋体" w:hAnsi="Tahoma" w:cs="Tahoma"/>
                      <w:color w:val="333333"/>
                      <w:kern w:val="0"/>
                      <w:sz w:val="18"/>
                      <w:szCs w:val="18"/>
                    </w:rPr>
                  </w:pPr>
                  <w:r w:rsidRPr="002C0C2D">
                    <w:rPr>
                      <w:rFonts w:ascii="Tahoma" w:eastAsia="宋体" w:hAnsi="Tahoma" w:cs="Tahoma"/>
                      <w:color w:val="333333"/>
                      <w:kern w:val="0"/>
                      <w:sz w:val="18"/>
                      <w:szCs w:val="18"/>
                    </w:rPr>
                    <w:t> </w:t>
                  </w:r>
                  <w:r w:rsidRPr="002C0C2D">
                    <w:rPr>
                      <w:rFonts w:ascii="Tahoma" w:eastAsia="宋体" w:hAnsi="Tahoma" w:cs="Tahoma"/>
                      <w:color w:val="333333"/>
                      <w:kern w:val="0"/>
                      <w:sz w:val="18"/>
                      <w:szCs w:val="18"/>
                    </w:rPr>
                    <w:t>文章来源：本站原创</w:t>
                  </w:r>
                  <w:r w:rsidRPr="002C0C2D">
                    <w:rPr>
                      <w:rFonts w:ascii="Tahoma" w:eastAsia="宋体" w:hAnsi="Tahoma" w:cs="Tahoma"/>
                      <w:color w:val="333333"/>
                      <w:kern w:val="0"/>
                      <w:sz w:val="18"/>
                      <w:szCs w:val="18"/>
                    </w:rPr>
                    <w:t xml:space="preserve"> </w:t>
                  </w:r>
                </w:p>
              </w:tc>
              <w:tc>
                <w:tcPr>
                  <w:tcW w:w="0" w:type="auto"/>
                  <w:hideMark/>
                </w:tcPr>
                <w:p w:rsidR="002C0C2D" w:rsidRPr="002C0C2D" w:rsidRDefault="002C0C2D" w:rsidP="002C0C2D">
                  <w:pPr>
                    <w:widowControl/>
                    <w:wordWrap w:val="0"/>
                    <w:jc w:val="left"/>
                    <w:rPr>
                      <w:rFonts w:ascii="Tahoma" w:eastAsia="宋体" w:hAnsi="Tahoma" w:cs="Tahoma"/>
                      <w:color w:val="333333"/>
                      <w:kern w:val="0"/>
                      <w:sz w:val="18"/>
                      <w:szCs w:val="18"/>
                    </w:rPr>
                  </w:pPr>
                  <w:r w:rsidRPr="002C0C2D">
                    <w:rPr>
                      <w:rFonts w:ascii="Tahoma" w:eastAsia="宋体" w:hAnsi="Tahoma" w:cs="Tahoma"/>
                      <w:color w:val="333333"/>
                      <w:kern w:val="0"/>
                      <w:sz w:val="18"/>
                      <w:szCs w:val="18"/>
                    </w:rPr>
                    <w:t xml:space="preserve">      </w:t>
                  </w:r>
                  <w:r w:rsidRPr="002C0C2D">
                    <w:rPr>
                      <w:rFonts w:ascii="Tahoma" w:eastAsia="宋体" w:hAnsi="Tahoma" w:cs="Tahoma"/>
                      <w:color w:val="333333"/>
                      <w:kern w:val="0"/>
                      <w:sz w:val="18"/>
                      <w:szCs w:val="18"/>
                    </w:rPr>
                    <w:t>点击数：</w:t>
                  </w:r>
                  <w:r w:rsidRPr="002C0C2D">
                    <w:rPr>
                      <w:rFonts w:ascii="Tahoma" w:eastAsia="宋体" w:hAnsi="Tahoma" w:cs="Tahoma"/>
                      <w:color w:val="333333"/>
                      <w:kern w:val="0"/>
                      <w:sz w:val="18"/>
                      <w:szCs w:val="18"/>
                    </w:rPr>
                    <w:t xml:space="preserve">904 </w:t>
                  </w:r>
                </w:p>
              </w:tc>
              <w:tc>
                <w:tcPr>
                  <w:tcW w:w="0" w:type="auto"/>
                  <w:hideMark/>
                </w:tcPr>
                <w:p w:rsidR="002C0C2D" w:rsidRPr="002C0C2D" w:rsidRDefault="002C0C2D" w:rsidP="002C0C2D">
                  <w:pPr>
                    <w:widowControl/>
                    <w:wordWrap w:val="0"/>
                    <w:jc w:val="left"/>
                    <w:rPr>
                      <w:rFonts w:ascii="Tahoma" w:eastAsia="宋体" w:hAnsi="Tahoma" w:cs="Tahoma"/>
                      <w:color w:val="333333"/>
                      <w:kern w:val="0"/>
                      <w:sz w:val="18"/>
                      <w:szCs w:val="18"/>
                    </w:rPr>
                  </w:pPr>
                  <w:r w:rsidRPr="002C0C2D">
                    <w:rPr>
                      <w:rFonts w:ascii="Tahoma" w:eastAsia="宋体" w:hAnsi="Tahoma" w:cs="Tahoma"/>
                      <w:color w:val="333333"/>
                      <w:kern w:val="0"/>
                      <w:sz w:val="18"/>
                      <w:szCs w:val="18"/>
                    </w:rPr>
                    <w:t xml:space="preserve">      </w:t>
                  </w:r>
                  <w:r w:rsidRPr="002C0C2D">
                    <w:rPr>
                      <w:rFonts w:ascii="Tahoma" w:eastAsia="宋体" w:hAnsi="Tahoma" w:cs="Tahoma"/>
                      <w:color w:val="333333"/>
                      <w:kern w:val="0"/>
                      <w:sz w:val="18"/>
                      <w:szCs w:val="18"/>
                    </w:rPr>
                    <w:t>更新时间：</w:t>
                  </w:r>
                  <w:r w:rsidRPr="002C0C2D">
                    <w:rPr>
                      <w:rFonts w:ascii="Tahoma" w:eastAsia="宋体" w:hAnsi="Tahoma" w:cs="Tahoma"/>
                      <w:color w:val="333333"/>
                      <w:kern w:val="0"/>
                      <w:sz w:val="18"/>
                      <w:szCs w:val="18"/>
                    </w:rPr>
                    <w:t xml:space="preserve">2018/11/12 15:42:00 </w:t>
                  </w:r>
                </w:p>
              </w:tc>
              <w:tc>
                <w:tcPr>
                  <w:tcW w:w="0" w:type="auto"/>
                  <w:hideMark/>
                </w:tcPr>
                <w:p w:rsidR="002C0C2D" w:rsidRPr="002C0C2D" w:rsidRDefault="002C0C2D" w:rsidP="002C0C2D">
                  <w:pPr>
                    <w:widowControl/>
                    <w:wordWrap w:val="0"/>
                    <w:jc w:val="left"/>
                    <w:rPr>
                      <w:rFonts w:ascii="Tahoma" w:eastAsia="宋体" w:hAnsi="Tahoma" w:cs="Tahoma"/>
                      <w:color w:val="333333"/>
                      <w:kern w:val="0"/>
                      <w:sz w:val="18"/>
                      <w:szCs w:val="18"/>
                    </w:rPr>
                  </w:pPr>
                  <w:r w:rsidRPr="002C0C2D">
                    <w:rPr>
                      <w:rFonts w:ascii="Tahoma" w:eastAsia="宋体" w:hAnsi="Tahoma" w:cs="Tahoma"/>
                      <w:color w:val="333333"/>
                      <w:kern w:val="0"/>
                      <w:sz w:val="18"/>
                      <w:szCs w:val="18"/>
                    </w:rPr>
                    <w:t>     </w:t>
                  </w:r>
                  <w:r w:rsidRPr="002C0C2D">
                    <w:rPr>
                      <w:rFonts w:ascii="Tahoma" w:eastAsia="宋体" w:hAnsi="Tahoma" w:cs="Tahoma"/>
                      <w:color w:val="333333"/>
                      <w:kern w:val="0"/>
                      <w:sz w:val="18"/>
                      <w:szCs w:val="18"/>
                    </w:rPr>
                    <w:t>发布人：</w:t>
                  </w:r>
                  <w:r w:rsidRPr="002C0C2D">
                    <w:rPr>
                      <w:rFonts w:ascii="Tahoma" w:eastAsia="宋体" w:hAnsi="Tahoma" w:cs="Tahoma"/>
                      <w:color w:val="333333"/>
                      <w:kern w:val="0"/>
                      <w:sz w:val="18"/>
                      <w:szCs w:val="18"/>
                    </w:rPr>
                    <w:t xml:space="preserve">admin </w:t>
                  </w:r>
                </w:p>
              </w:tc>
            </w:tr>
          </w:tbl>
          <w:p w:rsidR="002C0C2D" w:rsidRPr="002C0C2D" w:rsidRDefault="002C0C2D" w:rsidP="002C0C2D">
            <w:pPr>
              <w:widowControl/>
              <w:wordWrap w:val="0"/>
              <w:jc w:val="left"/>
              <w:rPr>
                <w:rFonts w:ascii="Tahoma" w:eastAsia="宋体" w:hAnsi="Tahoma" w:cs="Tahoma"/>
                <w:color w:val="333333"/>
                <w:kern w:val="0"/>
                <w:sz w:val="18"/>
                <w:szCs w:val="18"/>
              </w:rPr>
            </w:pPr>
          </w:p>
        </w:tc>
      </w:tr>
      <w:tr w:rsidR="002C0C2D" w:rsidRPr="002C0C2D" w:rsidTr="002C0C2D">
        <w:trPr>
          <w:tblCellSpacing w:w="0" w:type="dxa"/>
          <w:jc w:val="center"/>
        </w:trPr>
        <w:tc>
          <w:tcPr>
            <w:tcW w:w="0" w:type="auto"/>
            <w:vAlign w:val="center"/>
            <w:hideMark/>
          </w:tcPr>
          <w:p w:rsidR="002C0C2D" w:rsidRPr="002C0C2D" w:rsidRDefault="002C0C2D" w:rsidP="002C0C2D">
            <w:pPr>
              <w:widowControl/>
              <w:wordWrap w:val="0"/>
              <w:spacing w:before="100" w:beforeAutospacing="1" w:after="100" w:afterAutospacing="1" w:line="360" w:lineRule="auto"/>
              <w:jc w:val="right"/>
              <w:rPr>
                <w:rFonts w:ascii="宋体" w:eastAsia="宋体" w:hAnsi="宋体" w:cs="宋体"/>
                <w:color w:val="111111"/>
                <w:kern w:val="0"/>
                <w:sz w:val="24"/>
                <w:szCs w:val="24"/>
              </w:rPr>
            </w:pPr>
            <w:r w:rsidRPr="002C0C2D">
              <w:rPr>
                <w:rFonts w:ascii="仿宋" w:eastAsia="仿宋" w:hAnsi="仿宋" w:cs="宋体" w:hint="eastAsia"/>
                <w:color w:val="111111"/>
                <w:spacing w:val="-6"/>
                <w:sz w:val="32"/>
                <w:szCs w:val="32"/>
              </w:rPr>
              <w:t>ZJAC05-2018-0004</w:t>
            </w:r>
          </w:p>
          <w:p w:rsidR="002C0C2D" w:rsidRPr="002C0C2D" w:rsidRDefault="002C0C2D" w:rsidP="002C0C2D">
            <w:pPr>
              <w:widowControl/>
              <w:wordWrap w:val="0"/>
              <w:spacing w:line="360" w:lineRule="auto"/>
              <w:jc w:val="left"/>
              <w:rPr>
                <w:rFonts w:ascii="Tahoma" w:eastAsia="宋体" w:hAnsi="Tahoma" w:cs="Tahoma"/>
                <w:color w:val="333333"/>
                <w:kern w:val="0"/>
                <w:sz w:val="18"/>
                <w:szCs w:val="18"/>
              </w:rPr>
            </w:pPr>
            <w:r w:rsidRPr="002C0C2D">
              <w:rPr>
                <w:rFonts w:ascii="仿宋_GB2312" w:eastAsia="仿宋_GB2312" w:hAnsi="仿宋" w:cs="仿宋" w:hint="eastAsia"/>
                <w:color w:val="111111"/>
                <w:kern w:val="0"/>
                <w:sz w:val="32"/>
                <w:szCs w:val="32"/>
              </w:rPr>
              <w:br/>
              <w:t>各区、县（市）科技局、财政局、各有关单位：</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333333"/>
                <w:kern w:val="0"/>
                <w:sz w:val="24"/>
                <w:szCs w:val="24"/>
              </w:rPr>
            </w:pPr>
            <w:r w:rsidRPr="002C0C2D">
              <w:rPr>
                <w:rFonts w:ascii="仿宋_GB2312" w:eastAsia="仿宋_GB2312" w:hAnsi="仿宋" w:cs="仿宋" w:hint="eastAsia"/>
                <w:color w:val="111111"/>
                <w:kern w:val="0"/>
                <w:sz w:val="32"/>
                <w:szCs w:val="32"/>
              </w:rPr>
              <w:t>为贯彻落实《浙江省促进科技成果转化条例》，完善创新服务体系，促进科技成果转移转化，现将《杭州市科技创新券实施管理办法》印发给你们，请结合实际遵照执行。</w:t>
            </w:r>
          </w:p>
          <w:p w:rsidR="002C0C2D" w:rsidRPr="002C0C2D" w:rsidRDefault="002C0C2D" w:rsidP="002C0C2D">
            <w:pPr>
              <w:widowControl/>
              <w:wordWrap w:val="0"/>
              <w:spacing w:before="100" w:beforeAutospacing="1" w:after="100" w:afterAutospacing="1"/>
              <w:jc w:val="left"/>
              <w:rPr>
                <w:rFonts w:ascii="宋体" w:eastAsia="宋体" w:hAnsi="宋体" w:cs="宋体"/>
                <w:color w:val="333333"/>
                <w:kern w:val="0"/>
                <w:sz w:val="24"/>
                <w:szCs w:val="24"/>
              </w:rPr>
            </w:pPr>
            <w:r w:rsidRPr="002C0C2D">
              <w:rPr>
                <w:rFonts w:ascii="仿宋_GB2312" w:eastAsia="仿宋_GB2312" w:hAnsi="仿宋" w:cs="仿宋" w:hint="eastAsia"/>
                <w:color w:val="111111"/>
                <w:kern w:val="0"/>
                <w:sz w:val="32"/>
                <w:szCs w:val="32"/>
              </w:rPr>
              <w:t xml:space="preserve">  </w:t>
            </w:r>
          </w:p>
          <w:p w:rsidR="002C0C2D" w:rsidRPr="002C0C2D" w:rsidRDefault="002C0C2D" w:rsidP="002C0C2D">
            <w:pPr>
              <w:widowControl/>
              <w:wordWrap w:val="0"/>
              <w:ind w:firstLineChars="200" w:firstLine="640"/>
              <w:jc w:val="left"/>
              <w:rPr>
                <w:rFonts w:ascii="仿宋_GB2312" w:eastAsia="仿宋_GB2312" w:hAnsi="仿宋" w:cs="仿宋"/>
                <w:color w:val="111111"/>
                <w:kern w:val="0"/>
                <w:sz w:val="32"/>
                <w:szCs w:val="32"/>
              </w:rPr>
            </w:pPr>
            <w:r w:rsidRPr="002C0C2D">
              <w:rPr>
                <w:rFonts w:ascii="仿宋_GB2312" w:eastAsia="仿宋_GB2312" w:hAnsi="仿宋" w:cs="仿宋" w:hint="eastAsia"/>
                <w:color w:val="111111"/>
                <w:kern w:val="0"/>
                <w:sz w:val="32"/>
                <w:szCs w:val="32"/>
              </w:rPr>
              <w:t xml:space="preserve">               </w:t>
            </w:r>
            <w:r w:rsidR="00A76DB4">
              <w:rPr>
                <w:rFonts w:ascii="仿宋_GB2312" w:eastAsia="仿宋_GB2312" w:hAnsi="仿宋" w:cs="仿宋"/>
                <w:color w:val="111111"/>
                <w:kern w:val="0"/>
                <w:sz w:val="32"/>
                <w:szCs w:val="32"/>
              </w:rPr>
              <w:t xml:space="preserve">   </w:t>
            </w:r>
            <w:r w:rsidRPr="002C0C2D">
              <w:rPr>
                <w:rFonts w:ascii="仿宋_GB2312" w:eastAsia="仿宋_GB2312" w:hAnsi="仿宋" w:cs="仿宋" w:hint="eastAsia"/>
                <w:color w:val="111111"/>
                <w:kern w:val="0"/>
                <w:sz w:val="32"/>
                <w:szCs w:val="32"/>
              </w:rPr>
              <w:t xml:space="preserve">   杭州市科学技术委员会         杭州市财政局 </w:t>
            </w:r>
          </w:p>
          <w:p w:rsidR="002C0C2D" w:rsidRPr="002C0C2D" w:rsidRDefault="00A76DB4" w:rsidP="002C0C2D">
            <w:pPr>
              <w:widowControl/>
              <w:wordWrap w:val="0"/>
              <w:ind w:firstLineChars="1500" w:firstLine="4800"/>
              <w:jc w:val="left"/>
              <w:rPr>
                <w:rFonts w:ascii="仿宋_GB2312" w:eastAsia="仿宋_GB2312" w:hAnsi="仿宋" w:cs="仿宋"/>
                <w:color w:val="111111"/>
                <w:kern w:val="0"/>
                <w:sz w:val="32"/>
                <w:szCs w:val="32"/>
              </w:rPr>
            </w:pPr>
            <w:r>
              <w:rPr>
                <w:rFonts w:ascii="仿宋_GB2312" w:eastAsia="仿宋_GB2312" w:hAnsi="仿宋" w:cs="仿宋" w:hint="eastAsia"/>
                <w:color w:val="111111"/>
                <w:kern w:val="0"/>
                <w:sz w:val="32"/>
                <w:szCs w:val="32"/>
              </w:rPr>
              <w:t xml:space="preserve">   </w:t>
            </w:r>
            <w:r w:rsidR="002C0C2D" w:rsidRPr="002C0C2D">
              <w:rPr>
                <w:rFonts w:ascii="仿宋_GB2312" w:eastAsia="仿宋_GB2312" w:hAnsi="仿宋" w:cs="仿宋" w:hint="eastAsia"/>
                <w:color w:val="111111"/>
                <w:kern w:val="0"/>
                <w:sz w:val="32"/>
                <w:szCs w:val="32"/>
              </w:rPr>
              <w:t xml:space="preserve"> 2018年5月29日</w:t>
            </w:r>
          </w:p>
          <w:p w:rsidR="002C0C2D" w:rsidRPr="002C0C2D" w:rsidRDefault="002C0C2D" w:rsidP="002C0C2D">
            <w:pPr>
              <w:widowControl/>
              <w:wordWrap w:val="0"/>
              <w:spacing w:before="100" w:beforeAutospacing="1" w:after="100" w:afterAutospacing="1"/>
              <w:ind w:firstLineChars="1500" w:firstLine="4800"/>
              <w:jc w:val="left"/>
              <w:rPr>
                <w:rFonts w:ascii="宋体" w:eastAsia="宋体" w:hAnsi="宋体" w:cs="宋体"/>
                <w:color w:val="111111"/>
                <w:kern w:val="0"/>
                <w:sz w:val="24"/>
                <w:szCs w:val="24"/>
              </w:rPr>
            </w:pPr>
            <w:r w:rsidRPr="002C0C2D">
              <w:rPr>
                <w:rFonts w:ascii="仿宋" w:eastAsia="仿宋" w:hAnsi="仿宋" w:cs="宋体" w:hint="eastAsia"/>
                <w:color w:val="111111"/>
                <w:kern w:val="0"/>
                <w:sz w:val="32"/>
                <w:szCs w:val="32"/>
              </w:rPr>
              <w:t xml:space="preserve"> </w:t>
            </w:r>
          </w:p>
          <w:p w:rsidR="002C0C2D" w:rsidRPr="002C0C2D" w:rsidRDefault="002C0C2D" w:rsidP="002C0C2D">
            <w:pPr>
              <w:widowControl/>
              <w:wordWrap w:val="0"/>
              <w:ind w:firstLineChars="50" w:firstLine="220"/>
              <w:jc w:val="center"/>
              <w:rPr>
                <w:rFonts w:ascii="方正小标宋简体" w:eastAsia="方正小标宋简体" w:hAnsi="黑体" w:cs="黑体"/>
                <w:color w:val="111111"/>
                <w:kern w:val="0"/>
                <w:sz w:val="44"/>
                <w:szCs w:val="44"/>
              </w:rPr>
            </w:pPr>
            <w:r w:rsidRPr="002C0C2D">
              <w:rPr>
                <w:rFonts w:ascii="方正小标宋简体" w:eastAsia="方正小标宋简体" w:hAnsi="黑体" w:cs="黑体" w:hint="eastAsia"/>
                <w:color w:val="111111"/>
                <w:kern w:val="0"/>
                <w:sz w:val="44"/>
                <w:szCs w:val="44"/>
              </w:rPr>
              <w:t xml:space="preserve">杭州市科技创新券实施管理办法 </w:t>
            </w:r>
          </w:p>
          <w:p w:rsidR="002C0C2D" w:rsidRPr="002C0C2D" w:rsidRDefault="002C0C2D" w:rsidP="002C0C2D">
            <w:pPr>
              <w:widowControl/>
              <w:wordWrap w:val="0"/>
              <w:ind w:firstLineChars="50" w:firstLine="220"/>
              <w:jc w:val="center"/>
              <w:rPr>
                <w:rFonts w:ascii="方正小标宋简体" w:eastAsia="方正小标宋简体" w:hAnsi="黑体" w:cs="黑体"/>
                <w:color w:val="111111"/>
                <w:kern w:val="0"/>
                <w:sz w:val="44"/>
                <w:szCs w:val="44"/>
              </w:rPr>
            </w:pPr>
            <w:r w:rsidRPr="002C0C2D">
              <w:rPr>
                <w:rFonts w:ascii="方正小标宋简体" w:eastAsia="方正小标宋简体" w:hAnsi="黑体" w:cs="黑体" w:hint="eastAsia"/>
                <w:color w:val="111111"/>
                <w:kern w:val="0"/>
                <w:sz w:val="44"/>
                <w:szCs w:val="44"/>
              </w:rPr>
              <w:t xml:space="preserve"> </w:t>
            </w:r>
          </w:p>
          <w:p w:rsidR="002C0C2D" w:rsidRPr="002C0C2D" w:rsidRDefault="002C0C2D" w:rsidP="002C0C2D">
            <w:pPr>
              <w:widowControl/>
              <w:wordWrap w:val="0"/>
              <w:ind w:firstLineChars="50" w:firstLine="160"/>
              <w:jc w:val="center"/>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第一章</w:t>
            </w:r>
            <w:r w:rsidRPr="002C0C2D">
              <w:rPr>
                <w:rFonts w:ascii="Calibri" w:eastAsia="黑体" w:hAnsi="Calibri" w:cs="Calibri"/>
                <w:color w:val="111111"/>
                <w:kern w:val="0"/>
                <w:sz w:val="32"/>
                <w:szCs w:val="32"/>
              </w:rPr>
              <w:t xml:space="preserve"> </w:t>
            </w:r>
            <w:r w:rsidRPr="002C0C2D">
              <w:rPr>
                <w:rFonts w:ascii="黑体" w:eastAsia="黑体" w:hAnsi="黑体" w:cs="仿宋" w:hint="eastAsia"/>
                <w:color w:val="111111"/>
                <w:kern w:val="0"/>
                <w:sz w:val="32"/>
                <w:szCs w:val="32"/>
              </w:rPr>
              <w:t>总</w:t>
            </w:r>
            <w:r w:rsidRPr="002C0C2D">
              <w:rPr>
                <w:rFonts w:ascii="Calibri" w:eastAsia="黑体" w:hAnsi="Calibri" w:cs="Calibri"/>
                <w:color w:val="111111"/>
                <w:kern w:val="0"/>
                <w:sz w:val="32"/>
                <w:szCs w:val="32"/>
              </w:rPr>
              <w:t xml:space="preserve"> </w:t>
            </w:r>
            <w:r w:rsidRPr="002C0C2D">
              <w:rPr>
                <w:rFonts w:ascii="黑体" w:eastAsia="黑体" w:hAnsi="黑体" w:cs="仿宋" w:hint="eastAsia"/>
                <w:color w:val="111111"/>
                <w:kern w:val="0"/>
                <w:sz w:val="32"/>
                <w:szCs w:val="32"/>
              </w:rPr>
              <w:t>则</w:t>
            </w:r>
            <w:r w:rsidRPr="002C0C2D">
              <w:rPr>
                <w:rFonts w:ascii="Calibri" w:eastAsia="黑体" w:hAnsi="Calibri" w:cs="Calibri"/>
                <w:color w:val="111111"/>
                <w:kern w:val="0"/>
                <w:sz w:val="32"/>
                <w:szCs w:val="32"/>
              </w:rPr>
              <w:t xml:space="preserve"> </w:t>
            </w:r>
          </w:p>
          <w:p w:rsidR="002C0C2D" w:rsidRPr="002C0C2D" w:rsidRDefault="002C0C2D" w:rsidP="002C0C2D">
            <w:pPr>
              <w:widowControl/>
              <w:wordWrap w:val="0"/>
              <w:spacing w:line="360" w:lineRule="auto"/>
              <w:ind w:firstLineChars="250" w:firstLine="80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第一条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为贯彻落实《国务院关于大力推进大众创业万众创新若干政策措施的意见》（国发〔2015〕32号）</w:t>
            </w:r>
            <w:r w:rsidRPr="002C0C2D">
              <w:rPr>
                <w:rFonts w:ascii="仿宋_GB2312" w:eastAsia="仿宋_GB2312" w:hAnsi="仿宋" w:cs="仿宋" w:hint="eastAsia"/>
                <w:color w:val="111111"/>
                <w:kern w:val="0"/>
                <w:sz w:val="32"/>
                <w:szCs w:val="32"/>
              </w:rPr>
              <w:lastRenderedPageBreak/>
              <w:t xml:space="preserve">《国务院关于国家重大科研基础设施和大型科研仪器向社会开放的意见》（国发〔2014〕70号）《浙江省促进科技成果转化条例》《关于进一步推广应用创新券 推动大众创业万众创新的若干意见》（浙科发条〔2017〕70号）和《中共杭州市委杭州市人民政府关于深化改革 加强科技创新 加快创新活力之城建设的若干意见》（市委〔2016〕16号），完善创新服务体系，促进科技成果转移转化，推进科技资源开放共享服务，进一步发挥科研院所、科技创新服务平台在推动我市科技与经济深度融合中的重要作用，特制订本办法。  </w:t>
            </w:r>
          </w:p>
          <w:p w:rsidR="002C0C2D" w:rsidRPr="002C0C2D" w:rsidRDefault="002C0C2D" w:rsidP="002C0C2D">
            <w:pPr>
              <w:widowControl/>
              <w:wordWrap w:val="0"/>
              <w:spacing w:line="360" w:lineRule="auto"/>
              <w:ind w:firstLineChars="250" w:firstLine="80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第二条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高等学校、科研院所、科技创新服务平台要面向经济建设主战场，加快推进科研设施与仪器设备向社会开放，积极为企业等创新主体提供科技创新服务，实现资源共享，充分释放服务潜能。</w:t>
            </w:r>
          </w:p>
          <w:p w:rsidR="002C0C2D" w:rsidRPr="002C0C2D" w:rsidRDefault="002C0C2D" w:rsidP="002C0C2D">
            <w:pPr>
              <w:widowControl/>
              <w:wordWrap w:val="0"/>
              <w:spacing w:line="360" w:lineRule="auto"/>
              <w:ind w:firstLineChars="250" w:firstLine="80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第三条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科技创新券是政府向企业、创业者、市级科技创新服务平台无偿发放，用于向科技服务机构购买技术创新服务、自主开展技术创新活动等。科技创新券对企业自主开展的技术创新活动实行普惠性政策支持，支持范围覆盖技术创新全过程，但不与其他科技计划项目重复资助。</w:t>
            </w:r>
          </w:p>
          <w:p w:rsidR="002C0C2D" w:rsidRPr="002C0C2D" w:rsidRDefault="002C0C2D" w:rsidP="002C0C2D">
            <w:pPr>
              <w:widowControl/>
              <w:wordWrap w:val="0"/>
              <w:spacing w:line="360" w:lineRule="auto"/>
              <w:ind w:firstLineChars="250" w:firstLine="80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第四条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根据科技创新券的支持对象不同，科技创新券分为两类。第一类科技创新券支持在我市注册的企业及</w:t>
            </w:r>
            <w:r w:rsidRPr="002C0C2D">
              <w:rPr>
                <w:rFonts w:ascii="仿宋_GB2312" w:eastAsia="仿宋_GB2312" w:hAnsi="仿宋" w:cs="仿宋" w:hint="eastAsia"/>
                <w:color w:val="111111"/>
                <w:kern w:val="0"/>
                <w:sz w:val="32"/>
                <w:szCs w:val="32"/>
              </w:rPr>
              <w:lastRenderedPageBreak/>
              <w:t>入驻市级众创空间的创客（或创客团队）开展技术创新活动（以下简称企业券）。第二类科技创新券支持杭州市科技创新服务平台建设和开展科技服务（以下简称平台券）。</w:t>
            </w:r>
          </w:p>
          <w:p w:rsidR="002C0C2D" w:rsidRPr="002C0C2D" w:rsidRDefault="002C0C2D" w:rsidP="002C0C2D">
            <w:pPr>
              <w:widowControl/>
              <w:wordWrap w:val="0"/>
              <w:spacing w:line="360" w:lineRule="auto"/>
              <w:ind w:firstLineChars="250" w:firstLine="80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第五条</w:t>
            </w:r>
            <w:r w:rsidRPr="002C0C2D">
              <w:rPr>
                <w:rFonts w:ascii="仿宋_GB2312" w:eastAsia="仿宋_GB2312" w:hAnsi="仿宋" w:cs="仿宋" w:hint="eastAsia"/>
                <w:color w:val="111111"/>
                <w:kern w:val="0"/>
                <w:sz w:val="32"/>
                <w:szCs w:val="32"/>
              </w:rPr>
              <w:t xml:space="preserve"> 市科委、市财政局共同组织实施科技创新券工作。鼓励各区、县（市）根据实际，深化科技经费使用制度改革，制定本地科技创新券具体实施办法。 </w:t>
            </w:r>
          </w:p>
          <w:p w:rsidR="002C0C2D" w:rsidRPr="002C0C2D" w:rsidRDefault="002C0C2D" w:rsidP="002C0C2D">
            <w:pPr>
              <w:widowControl/>
              <w:wordWrap w:val="0"/>
              <w:spacing w:line="360" w:lineRule="auto"/>
              <w:ind w:firstLineChars="250" w:firstLine="800"/>
              <w:jc w:val="left"/>
              <w:rPr>
                <w:rFonts w:ascii="仿宋_GB2312" w:eastAsia="仿宋_GB2312" w:hAnsi="仿宋" w:cs="仿宋"/>
                <w:color w:val="111111"/>
                <w:kern w:val="0"/>
                <w:sz w:val="32"/>
                <w:szCs w:val="32"/>
              </w:rPr>
            </w:pPr>
            <w:r w:rsidRPr="002C0C2D">
              <w:rPr>
                <w:rFonts w:ascii="仿宋_GB2312" w:eastAsia="仿宋_GB2312" w:hAnsi="仿宋" w:cs="仿宋" w:hint="eastAsia"/>
                <w:color w:val="111111"/>
                <w:kern w:val="0"/>
                <w:sz w:val="32"/>
                <w:szCs w:val="32"/>
              </w:rPr>
              <w:t xml:space="preserve"> </w:t>
            </w:r>
          </w:p>
          <w:p w:rsidR="002C0C2D" w:rsidRPr="002C0C2D" w:rsidRDefault="002C0C2D" w:rsidP="002C0C2D">
            <w:pPr>
              <w:widowControl/>
              <w:wordWrap w:val="0"/>
              <w:spacing w:line="360" w:lineRule="auto"/>
              <w:ind w:firstLineChars="250" w:firstLine="80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 xml:space="preserve">            第二章</w:t>
            </w:r>
            <w:r w:rsidRPr="002C0C2D">
              <w:rPr>
                <w:rFonts w:ascii="黑体" w:eastAsia="黑体" w:hAnsi="仿宋" w:cs="仿宋" w:hint="eastAsia"/>
                <w:color w:val="111111"/>
                <w:kern w:val="0"/>
                <w:sz w:val="32"/>
                <w:szCs w:val="32"/>
              </w:rPr>
              <w:t xml:space="preserve">   </w:t>
            </w:r>
            <w:r w:rsidRPr="002C0C2D">
              <w:rPr>
                <w:rFonts w:ascii="黑体" w:eastAsia="黑体" w:hAnsi="黑体" w:cs="仿宋" w:hint="eastAsia"/>
                <w:color w:val="111111"/>
                <w:kern w:val="0"/>
                <w:sz w:val="32"/>
                <w:szCs w:val="32"/>
              </w:rPr>
              <w:t>企业券</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第六条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企业券主要支持在我市注册的企业及入驻市级众创空间的创客（或创客团队）开展技术创新活动。企业券由区、县（市）科技局向企业和创客（或创客团队）发放并兑现，市科委不单独发放和兑现企业券。企业和创客（创客团队）应根据自身发展实际、酌请自主申领企业券。原则上每家企业每年度最高申领额度一般不超过20万元，每个创客（或创客团队）每年度最高申领额度一般不超过10万元。</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1.鼓励企业和创客（或创客团队）到全省各级各类创新载体寻求技术服务。企业券优先在省级创新载体（载体范围以省科技厅公布为准）和市级创新载体（载体范围以市科委公布为准）使用。企业和创客（或创客团队）向非关联的上述创新载体购买科技创新活动所需要的技术开</w:t>
            </w:r>
            <w:r w:rsidRPr="002C0C2D">
              <w:rPr>
                <w:rFonts w:ascii="仿宋_GB2312" w:eastAsia="仿宋_GB2312" w:hAnsi="仿宋" w:cs="仿宋" w:hint="eastAsia"/>
                <w:color w:val="111111"/>
                <w:kern w:val="0"/>
                <w:sz w:val="32"/>
                <w:szCs w:val="32"/>
              </w:rPr>
              <w:lastRenderedPageBreak/>
              <w:t>发、技术服务、技术咨询、技术查新、测试分析、产品设计、技术培训、专利代理、专利分析评估等形式科技服务时，并与创新载体签订技术合同的，给予一定比例的企业券补助。具体范围可参照《财政部 国家税务总局关于 全面推开营业税改征增值税试点的通知》（财税[2016]36号）规定的内容确定。</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2.鼓励有条件的企业和其他创新载体向社会开放共享科技资源，利用创新券提供科技服务。将公共财政形成的原值50万元以上重大科研仪器设施都纳入对外开放共享范围。</w:t>
            </w:r>
          </w:p>
          <w:p w:rsidR="002C0C2D" w:rsidRPr="002C0C2D" w:rsidRDefault="002C0C2D" w:rsidP="002C0C2D">
            <w:pPr>
              <w:widowControl/>
              <w:wordWrap w:val="0"/>
              <w:spacing w:line="360" w:lineRule="auto"/>
              <w:ind w:firstLineChars="200" w:firstLine="64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第七条</w:t>
            </w:r>
            <w:r w:rsidRPr="002C0C2D">
              <w:rPr>
                <w:rFonts w:ascii="仿宋" w:eastAsia="仿宋"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区、县（市）科技局按照本办法要求发放、使用和兑现的企业券，市财政对各区、县（市）年度需兑现总额给予不超过40%比例的补助，补助资金可以作为各区、县（市）科技局科技创新券兑现资金的补充。</w:t>
            </w:r>
          </w:p>
          <w:p w:rsidR="002C0C2D" w:rsidRPr="002C0C2D" w:rsidRDefault="002C0C2D" w:rsidP="002C0C2D">
            <w:pPr>
              <w:widowControl/>
              <w:wordWrap w:val="0"/>
              <w:spacing w:line="360" w:lineRule="auto"/>
              <w:ind w:firstLineChars="200" w:firstLine="640"/>
              <w:jc w:val="left"/>
              <w:rPr>
                <w:rFonts w:ascii="仿宋_GB2312" w:eastAsia="仿宋_GB2312" w:hAnsi="仿宋" w:cs="仿宋"/>
                <w:color w:val="111111"/>
                <w:kern w:val="0"/>
                <w:sz w:val="32"/>
                <w:szCs w:val="32"/>
              </w:rPr>
            </w:pPr>
            <w:r w:rsidRPr="002C0C2D">
              <w:rPr>
                <w:rFonts w:ascii="仿宋_GB2312" w:eastAsia="仿宋_GB2312" w:hAnsi="仿宋" w:cs="仿宋" w:hint="eastAsia"/>
                <w:color w:val="111111"/>
                <w:kern w:val="0"/>
                <w:sz w:val="32"/>
                <w:szCs w:val="32"/>
              </w:rPr>
              <w:t xml:space="preserve"> </w:t>
            </w:r>
          </w:p>
          <w:p w:rsidR="002C0C2D" w:rsidRPr="002C0C2D" w:rsidRDefault="002C0C2D" w:rsidP="00A76DB4">
            <w:pPr>
              <w:widowControl/>
              <w:spacing w:line="360" w:lineRule="auto"/>
              <w:jc w:val="center"/>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第三章</w:t>
            </w:r>
            <w:r w:rsidRPr="002C0C2D">
              <w:rPr>
                <w:rFonts w:ascii="黑体" w:eastAsia="黑体" w:hAnsi="仿宋" w:cs="仿宋" w:hint="eastAsia"/>
                <w:color w:val="111111"/>
                <w:kern w:val="0"/>
                <w:sz w:val="32"/>
                <w:szCs w:val="32"/>
              </w:rPr>
              <w:t xml:space="preserve"> </w:t>
            </w:r>
            <w:r w:rsidRPr="002C0C2D">
              <w:rPr>
                <w:rFonts w:ascii="黑体" w:eastAsia="黑体" w:hAnsi="黑体" w:cs="仿宋" w:hint="eastAsia"/>
                <w:color w:val="111111"/>
                <w:kern w:val="0"/>
                <w:sz w:val="32"/>
                <w:szCs w:val="32"/>
              </w:rPr>
              <w:t>平台券</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第八条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平台券主要支持杭州市科技创新服务平台（以下简称平台）建设和开展科技服务。平台是通过优化整合各类科技资源，向社会提供研究开发、成果转化、技术服务、技术咨询等各类公共科技服务的载体，是技术创新活动的重要基础设施和条件保障。平台主要依托在杭具</w:t>
            </w:r>
            <w:r w:rsidRPr="002C0C2D">
              <w:rPr>
                <w:rFonts w:ascii="仿宋_GB2312" w:eastAsia="仿宋_GB2312" w:hAnsi="仿宋" w:cs="仿宋" w:hint="eastAsia"/>
                <w:color w:val="111111"/>
                <w:kern w:val="0"/>
                <w:sz w:val="32"/>
                <w:szCs w:val="32"/>
              </w:rPr>
              <w:lastRenderedPageBreak/>
              <w:t>备丰富优质的科技基础条件、较强的科研开发与服务优势的科研机构、高等院校、行业重点企业、科技中介机构等组建。</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 xml:space="preserve">1.市科委根据全市科技发展规划、建设重点和经费预算，提出平台年度计划和建设要求，采用主动设计等方式组织平台建设，经实地考察、专家论证、行政决策等程序确定立项平台。   </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2.重点建设公共科技基础平台、专业科技创新服务平台。整合现有大型科学仪器、科技文献、科技信息等科技资源，搭建具有公益性、基础性的公共科技基础平台。整合集聚相关创新资源，围绕我市重点发展产业，开展从科研到产业化的一系列科技创新活动，建设为行业领域科技创新提供科技服务的专业科技创新服务平台。</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3.专业科技创新服务平台应具备以下条件：</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一是具有明确的专业服务方向，拥有一批具有创新需求的服务对象，具备集聚创新资源、组织科技攻关、提供技术服务、实施成果转化、开展人才培养等基本功能。</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二是具有一定规模的科技创新基础资源和技术装备，能为本领域中小企业、科研人员提供必要的仪器设备和场</w:t>
            </w:r>
            <w:r w:rsidRPr="002C0C2D">
              <w:rPr>
                <w:rFonts w:ascii="仿宋_GB2312" w:eastAsia="仿宋_GB2312" w:hAnsi="仿宋" w:cs="仿宋" w:hint="eastAsia"/>
                <w:color w:val="111111"/>
                <w:kern w:val="0"/>
                <w:sz w:val="32"/>
                <w:szCs w:val="32"/>
              </w:rPr>
              <w:lastRenderedPageBreak/>
              <w:t>地，平台建成后仪器设备总价值一般不少于500万元。</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三是拥有为科技创新和产业化发展提供技术服务的专业技术人才不少于30人，其中高级职称人员不少于15人。平台负责人具有较高的专业水平、组织管理与协调能力。</w:t>
            </w:r>
          </w:p>
          <w:p w:rsidR="002C0C2D" w:rsidRPr="002C0C2D" w:rsidRDefault="002C0C2D" w:rsidP="002C0C2D">
            <w:pPr>
              <w:widowControl/>
              <w:wordWrap w:val="0"/>
              <w:spacing w:before="100" w:beforeAutospacing="1" w:after="100" w:afterAutospacing="1" w:line="360" w:lineRule="auto"/>
              <w:ind w:firstLineChars="196" w:firstLine="627"/>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四是能够提供平台建设顺利实施的自筹资金、技术支撑和后勤保障，具有开放共享的管理体制和实现良性持续发展的运行机制。</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4.平台建设期一般为3年，实行分步实施、分期建设，边建设、边运行、边服务。平台应承担面向社会提供优质优惠公共科技服务的义务，拥有的科研仪器设备和科研场所必须向社会开放，自觉接受政府科技管理部门、行业主管部门等的指导和监督。平台建设期内，市科委将每年对平台进行考核，对连续两年考核不合格的，予以调整或撤销。建设期满，完成总体目标后，应按时提出验收申请。平台建设完成后，市科委每年组织对平台运行情况进行评估，评估结果作为平台券补助的重要依据。对连续两次评估不合格的平台，取消市科技创新服务平台资格。</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第九条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平台建设和运行经费采用政府引导支持和平台建设单位自筹相结合解决。平台建设单位须保障自筹经</w:t>
            </w:r>
            <w:r w:rsidRPr="002C0C2D">
              <w:rPr>
                <w:rFonts w:ascii="仿宋_GB2312" w:eastAsia="仿宋_GB2312" w:hAnsi="仿宋" w:cs="仿宋" w:hint="eastAsia"/>
                <w:color w:val="111111"/>
                <w:kern w:val="0"/>
                <w:sz w:val="32"/>
                <w:szCs w:val="32"/>
              </w:rPr>
              <w:lastRenderedPageBreak/>
              <w:t>费到位，确保平台建设和运行。平台经费使用要符合我市科技项目经费管理办法。</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仿宋_GB2312" w:eastAsia="仿宋_GB2312" w:hAnsi="仿宋" w:cs="仿宋" w:hint="eastAsia"/>
                <w:color w:val="111111"/>
                <w:kern w:val="0"/>
                <w:sz w:val="32"/>
                <w:szCs w:val="32"/>
              </w:rPr>
              <w:t>1.对建设期内的平台（新建平台），采用平台券给予分年度补助。平台完成分期合同指标并通过年度考核后，根据其面向企业和社会提供有效服务情况、年度考核情况以及实际投入情况确定并拨付当年度平台券补助经费。公共科技基础平台以财政投入为主。专业科技创新服务平台以平台建设单位自筹为主，平台券补助总额度为平台建设期内用于设备的平台自筹总投入的30%，最高不超过500万元。补助经费主要用于平台的科技创新条件建设。平台建设期内考核不合格的平台不予平台券补助。</w:t>
            </w:r>
          </w:p>
          <w:p w:rsidR="002C0C2D" w:rsidRPr="002C0C2D" w:rsidRDefault="002C0C2D" w:rsidP="002C0C2D">
            <w:pPr>
              <w:widowControl/>
              <w:wordWrap w:val="0"/>
              <w:spacing w:line="360" w:lineRule="auto"/>
              <w:ind w:firstLineChars="200" w:firstLine="640"/>
              <w:jc w:val="left"/>
              <w:rPr>
                <w:rFonts w:ascii="仿宋_GB2312" w:eastAsia="仿宋_GB2312" w:hAnsi="仿宋" w:cs="仿宋"/>
                <w:color w:val="111111"/>
                <w:kern w:val="0"/>
                <w:sz w:val="32"/>
                <w:szCs w:val="32"/>
              </w:rPr>
            </w:pPr>
            <w:r w:rsidRPr="002C0C2D">
              <w:rPr>
                <w:rFonts w:ascii="仿宋_GB2312" w:eastAsia="仿宋_GB2312" w:hAnsi="仿宋" w:cs="仿宋" w:hint="eastAsia"/>
                <w:color w:val="111111"/>
                <w:kern w:val="0"/>
                <w:sz w:val="32"/>
                <w:szCs w:val="32"/>
              </w:rPr>
              <w:t>2.对建设期满并通过验收的平台（已建平台），根据其向社会开展科技服务的实际情况给予一定的平台券补贴。公共科技基础平台的运行经费采用政府购买公共服务方式给予平台券补贴，单个平台每年度补贴金额最高不超过100万元。专业科技创新服务平台根据其与我市企业签订的技术合同和服务绩效、服务评价等，给予其不超过技术合同金额10%的平台券补贴，单个平台每年度补贴金额最高不超过100万元。其中对由市财政补助事业单位为牵头单位的专业科技创新服务平台，根据其与企业签订的技术合同或开展技术培训、技术推广等无偿公共科技服务项</w:t>
            </w:r>
            <w:r w:rsidRPr="002C0C2D">
              <w:rPr>
                <w:rFonts w:ascii="仿宋_GB2312" w:eastAsia="仿宋_GB2312" w:hAnsi="仿宋" w:cs="仿宋" w:hint="eastAsia"/>
                <w:color w:val="111111"/>
                <w:kern w:val="0"/>
                <w:sz w:val="32"/>
                <w:szCs w:val="32"/>
              </w:rPr>
              <w:lastRenderedPageBreak/>
              <w:t xml:space="preserve">目，经考核后，给予其不超过20万元的平台券补贴。平台所获平台券补贴主要用于平台面向社会开展科技服务、推进科技成果转化、仪器设备维护及其它运行服务费用等。运行评估不合格的平台不予平台券补助。 </w:t>
            </w:r>
          </w:p>
          <w:p w:rsidR="000A3B43" w:rsidRDefault="002C0C2D" w:rsidP="000A3B43">
            <w:pPr>
              <w:widowControl/>
              <w:wordWrap w:val="0"/>
              <w:spacing w:line="360" w:lineRule="auto"/>
              <w:ind w:firstLineChars="200" w:firstLine="640"/>
              <w:jc w:val="left"/>
              <w:rPr>
                <w:rFonts w:ascii="仿宋_GB2312" w:eastAsia="仿宋_GB2312" w:hAnsi="仿宋" w:cs="仿宋"/>
                <w:color w:val="111111"/>
                <w:kern w:val="0"/>
                <w:sz w:val="32"/>
                <w:szCs w:val="32"/>
              </w:rPr>
            </w:pPr>
            <w:r w:rsidRPr="002C0C2D">
              <w:rPr>
                <w:rFonts w:ascii="仿宋_GB2312" w:eastAsia="仿宋_GB2312" w:hAnsi="仿宋" w:cs="仿宋" w:hint="eastAsia"/>
                <w:color w:val="111111"/>
                <w:kern w:val="0"/>
                <w:sz w:val="32"/>
                <w:szCs w:val="32"/>
              </w:rPr>
              <w:t xml:space="preserve"> </w:t>
            </w:r>
          </w:p>
          <w:p w:rsidR="002C0C2D" w:rsidRPr="002C0C2D" w:rsidRDefault="002C0C2D" w:rsidP="000A3B43">
            <w:pPr>
              <w:widowControl/>
              <w:spacing w:line="360" w:lineRule="auto"/>
              <w:jc w:val="center"/>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第四章</w:t>
            </w:r>
            <w:r w:rsidRPr="002C0C2D">
              <w:rPr>
                <w:rFonts w:ascii="黑体" w:eastAsia="黑体" w:hAnsi="仿宋" w:cs="仿宋" w:hint="eastAsia"/>
                <w:color w:val="111111"/>
                <w:kern w:val="0"/>
                <w:sz w:val="32"/>
                <w:szCs w:val="32"/>
              </w:rPr>
              <w:t xml:space="preserve"> </w:t>
            </w:r>
            <w:r w:rsidRPr="002C0C2D">
              <w:rPr>
                <w:rFonts w:ascii="黑体" w:eastAsia="黑体" w:hAnsi="黑体" w:cs="仿宋" w:hint="eastAsia"/>
                <w:color w:val="111111"/>
                <w:kern w:val="0"/>
                <w:sz w:val="32"/>
                <w:szCs w:val="32"/>
              </w:rPr>
              <w:t>申领使用与兑现</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第十条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创新券申请采用网上申报和书面申报相结合的方式。新建平台的平台券申请，须通过“杭州市财政专项资金网络管理系统”进行申报。已建平台的平台券申请和企业券申请主要依托“浙江省科技创新云服务平台”（以下简称“云服务平台”）开展，可以线上线下相结合，以企业便利为原则，纸质创新券同时有效。企业和创客（或创客团队）可以通过云服务平台查询开放共享的科研基础设施、仪器设备，并在线预约技术创新服务。</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第十一条</w:t>
            </w:r>
            <w:r w:rsidRPr="002C0C2D">
              <w:rPr>
                <w:rFonts w:ascii="仿宋" w:eastAsia="仿宋" w:hAnsi="仿宋" w:cs="宋体" w:hint="eastAsia"/>
                <w:color w:val="111111"/>
                <w:kern w:val="0"/>
                <w:sz w:val="32"/>
                <w:szCs w:val="32"/>
              </w:rPr>
              <w:t xml:space="preserve"> </w:t>
            </w:r>
            <w:r w:rsidRPr="002C0C2D">
              <w:rPr>
                <w:rFonts w:ascii="仿宋_GB2312" w:eastAsia="仿宋_GB2312" w:hAnsi="仿宋" w:cs="仿宋" w:hint="eastAsia"/>
                <w:color w:val="111111"/>
                <w:kern w:val="0"/>
                <w:sz w:val="32"/>
                <w:szCs w:val="32"/>
              </w:rPr>
              <w:t>企业和创客（或创客团队）申请企业券兑现时，企业和创客（或创客团队）须已经完成该次科技服务，及时将技术合同（含合同登记编号）、服务结果凭证（如检测检测报告、查新报告）和企业付款凭据上传至云服务平台，同时向所在区、县（市）科技局提交技术合同（含合同登记编号）、服务结果凭证（如检测检测报告、查新报告）、企业付款凭据。其中总价在1000元以下的</w:t>
            </w:r>
            <w:r w:rsidRPr="002C0C2D">
              <w:rPr>
                <w:rFonts w:ascii="仿宋_GB2312" w:eastAsia="仿宋_GB2312" w:hAnsi="仿宋" w:cs="仿宋" w:hint="eastAsia"/>
                <w:color w:val="111111"/>
                <w:kern w:val="0"/>
                <w:sz w:val="32"/>
                <w:szCs w:val="32"/>
              </w:rPr>
              <w:lastRenderedPageBreak/>
              <w:t>科技服务可凭服务结果凭证（如检验检测报告、查新报告）、企业付款凭据提出申请。为了更好的推进一次办结事项，企业和创客（或创客团队）在市级创新载体使用企业券，可委托市级创新载体办理企业券的申领使用与兑现工作。</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第十二条</w:t>
            </w:r>
            <w:r w:rsidRPr="002C0C2D">
              <w:rPr>
                <w:rFonts w:ascii="仿宋" w:eastAsia="仿宋" w:hAnsi="仿宋" w:cs="宋体" w:hint="eastAsia"/>
                <w:color w:val="111111"/>
                <w:kern w:val="0"/>
                <w:sz w:val="32"/>
                <w:szCs w:val="32"/>
              </w:rPr>
              <w:t xml:space="preserve"> </w:t>
            </w:r>
            <w:r w:rsidRPr="002C0C2D">
              <w:rPr>
                <w:rFonts w:ascii="仿宋_GB2312" w:eastAsia="仿宋_GB2312" w:hAnsi="仿宋" w:cs="仿宋" w:hint="eastAsia"/>
                <w:color w:val="111111"/>
                <w:kern w:val="0"/>
                <w:sz w:val="32"/>
                <w:szCs w:val="32"/>
              </w:rPr>
              <w:t>科技创新券的申领、发放、使用和申请兑现一般应在同一工作年度内完成，逾期自动作废。</w:t>
            </w:r>
          </w:p>
          <w:p w:rsidR="002C0C2D" w:rsidRPr="002C0C2D" w:rsidRDefault="002C0C2D" w:rsidP="002C0C2D">
            <w:pPr>
              <w:widowControl/>
              <w:wordWrap w:val="0"/>
              <w:spacing w:line="360" w:lineRule="auto"/>
              <w:ind w:firstLineChars="200" w:firstLine="640"/>
              <w:jc w:val="left"/>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第十三条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 xml:space="preserve">按照法律法规或者强制性标准要求开展的强制检测和法定检测等其他商业活动，或列入市科技计划项目支持的不再纳入科技创新券支持范围。 </w:t>
            </w:r>
          </w:p>
          <w:p w:rsidR="002C0C2D" w:rsidRPr="002C0C2D" w:rsidRDefault="002C0C2D" w:rsidP="002C0C2D">
            <w:pPr>
              <w:widowControl/>
              <w:wordWrap w:val="0"/>
              <w:spacing w:line="360" w:lineRule="auto"/>
              <w:ind w:firstLineChars="200" w:firstLine="640"/>
              <w:jc w:val="left"/>
              <w:rPr>
                <w:rFonts w:ascii="仿宋_GB2312" w:eastAsia="仿宋_GB2312" w:hAnsi="仿宋" w:cs="仿宋"/>
                <w:color w:val="111111"/>
                <w:kern w:val="0"/>
                <w:sz w:val="32"/>
                <w:szCs w:val="32"/>
              </w:rPr>
            </w:pPr>
            <w:r w:rsidRPr="002C0C2D">
              <w:rPr>
                <w:rFonts w:ascii="仿宋_GB2312" w:eastAsia="仿宋_GB2312" w:hAnsi="仿宋" w:cs="仿宋" w:hint="eastAsia"/>
                <w:color w:val="111111"/>
                <w:kern w:val="0"/>
                <w:sz w:val="32"/>
                <w:szCs w:val="32"/>
              </w:rPr>
              <w:t xml:space="preserve"> </w:t>
            </w:r>
          </w:p>
          <w:p w:rsidR="002C0C2D" w:rsidRPr="002C0C2D" w:rsidRDefault="002C0C2D" w:rsidP="007873A5">
            <w:pPr>
              <w:widowControl/>
              <w:spacing w:line="360" w:lineRule="auto"/>
              <w:jc w:val="center"/>
              <w:rPr>
                <w:rFonts w:ascii="仿宋_GB2312" w:eastAsia="仿宋_GB2312" w:hAnsi="仿宋" w:cs="仿宋"/>
                <w:color w:val="111111"/>
                <w:kern w:val="0"/>
                <w:sz w:val="32"/>
                <w:szCs w:val="32"/>
              </w:rPr>
            </w:pPr>
            <w:r w:rsidRPr="002C0C2D">
              <w:rPr>
                <w:rFonts w:ascii="黑体" w:eastAsia="黑体" w:hAnsi="黑体" w:cs="仿宋" w:hint="eastAsia"/>
                <w:color w:val="111111"/>
                <w:kern w:val="0"/>
                <w:sz w:val="32"/>
                <w:szCs w:val="32"/>
              </w:rPr>
              <w:t>第五章</w:t>
            </w:r>
            <w:r w:rsidRPr="002C0C2D">
              <w:rPr>
                <w:rFonts w:ascii="黑体" w:eastAsia="黑体" w:hAnsi="仿宋" w:cs="仿宋" w:hint="eastAsia"/>
                <w:color w:val="111111"/>
                <w:kern w:val="0"/>
                <w:sz w:val="32"/>
                <w:szCs w:val="32"/>
              </w:rPr>
              <w:t xml:space="preserve"> </w:t>
            </w:r>
            <w:r w:rsidRPr="002C0C2D">
              <w:rPr>
                <w:rFonts w:ascii="黑体" w:eastAsia="黑体" w:hAnsi="黑体" w:cs="仿宋" w:hint="eastAsia"/>
                <w:color w:val="111111"/>
                <w:kern w:val="0"/>
                <w:sz w:val="32"/>
                <w:szCs w:val="32"/>
              </w:rPr>
              <w:t>管理与监督</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第十四条</w:t>
            </w:r>
            <w:r w:rsidRPr="002C0C2D">
              <w:rPr>
                <w:rFonts w:ascii="仿宋_GB2312" w:eastAsia="仿宋_GB2312" w:hAnsi="仿宋" w:cs="仿宋" w:hint="eastAsia"/>
                <w:color w:val="111111"/>
                <w:kern w:val="0"/>
                <w:sz w:val="32"/>
                <w:szCs w:val="32"/>
              </w:rPr>
              <w:t xml:space="preserve"> 市科委、市财政局把开放共享情况纳入市级创新载体评价内容，并作为科技条件建设的重要依据，各区、县（市）推广应用科技创新券情况纳入科技系统考核内容。</w:t>
            </w:r>
          </w:p>
          <w:p w:rsidR="002C0C2D" w:rsidRPr="002C0C2D" w:rsidRDefault="002C0C2D" w:rsidP="002C0C2D">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第十五条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科技资源的依托单位是科技资源向社会开放的责任主体，要强化法人责任，切实履行开放职责，自觉接受相关部门的考核评估和社会监督。</w:t>
            </w:r>
          </w:p>
          <w:p w:rsidR="002C0C2D" w:rsidRPr="002C0C2D" w:rsidRDefault="002C0C2D" w:rsidP="007873A5">
            <w:pPr>
              <w:widowControl/>
              <w:wordWrap w:val="0"/>
              <w:spacing w:before="100" w:beforeAutospacing="1" w:after="100" w:afterAutospacing="1" w:line="360" w:lineRule="auto"/>
              <w:ind w:firstLineChars="200" w:firstLine="640"/>
              <w:jc w:val="left"/>
              <w:rPr>
                <w:rFonts w:ascii="宋体" w:eastAsia="宋体" w:hAnsi="宋体" w:cs="宋体"/>
                <w:color w:val="111111"/>
                <w:kern w:val="0"/>
                <w:sz w:val="24"/>
                <w:szCs w:val="24"/>
              </w:rPr>
            </w:pPr>
            <w:r w:rsidRPr="002C0C2D">
              <w:rPr>
                <w:rFonts w:ascii="黑体" w:eastAsia="黑体" w:hAnsi="黑体" w:cs="仿宋" w:hint="eastAsia"/>
                <w:color w:val="111111"/>
                <w:kern w:val="0"/>
                <w:sz w:val="32"/>
                <w:szCs w:val="32"/>
              </w:rPr>
              <w:t>第十六条</w:t>
            </w:r>
            <w:r w:rsidRPr="002C0C2D">
              <w:rPr>
                <w:rFonts w:ascii="黑体" w:eastAsia="黑体" w:hAnsi="仿宋" w:cs="仿宋" w:hint="eastAsia"/>
                <w:color w:val="111111"/>
                <w:kern w:val="0"/>
                <w:sz w:val="32"/>
                <w:szCs w:val="32"/>
              </w:rPr>
              <w:t xml:space="preserve"> </w:t>
            </w:r>
            <w:r w:rsidRPr="002C0C2D">
              <w:rPr>
                <w:rFonts w:ascii="仿宋_GB2312" w:eastAsia="仿宋_GB2312" w:hAnsi="仿宋" w:cs="仿宋" w:hint="eastAsia"/>
                <w:color w:val="111111"/>
                <w:kern w:val="0"/>
                <w:sz w:val="32"/>
                <w:szCs w:val="32"/>
              </w:rPr>
              <w:t>科技创新券实行实名制，不得转让、买卖，</w:t>
            </w:r>
            <w:r w:rsidRPr="002C0C2D">
              <w:rPr>
                <w:rFonts w:ascii="仿宋_GB2312" w:eastAsia="仿宋_GB2312" w:hAnsi="仿宋" w:cs="仿宋" w:hint="eastAsia"/>
                <w:color w:val="111111"/>
                <w:kern w:val="0"/>
                <w:sz w:val="32"/>
                <w:szCs w:val="32"/>
              </w:rPr>
              <w:lastRenderedPageBreak/>
              <w:t>不重复使用，使用和管理遵守国家有关法律、法规和规章制度，不得提供虚假信息。对违规骗取资金的企业、创业者和各级各类创新载体，将根据《财政违法行为处罚处分条例》（国务院令427号）规定，视情节轻重对有关责任单位、责任人实行限期整改、给予警告、停拨或追回财政资金；并根据《杭州市科技发展资金使用管理暂行办法》（杭财教〔2015〕19号）规定，5年内取消申请科技资金补助的资格，并将违规行为纳入社会信用记录。</w:t>
            </w:r>
          </w:p>
          <w:p w:rsidR="002C0C2D" w:rsidRPr="007873A5" w:rsidRDefault="002C0C2D" w:rsidP="007873A5">
            <w:pPr>
              <w:widowControl/>
              <w:wordWrap w:val="0"/>
              <w:spacing w:before="100" w:beforeAutospacing="1" w:after="100" w:afterAutospacing="1" w:line="360" w:lineRule="auto"/>
              <w:ind w:firstLineChars="200" w:firstLine="640"/>
              <w:jc w:val="left"/>
              <w:rPr>
                <w:rFonts w:ascii="宋体" w:eastAsia="宋体" w:hAnsi="宋体" w:cs="宋体" w:hint="eastAsia"/>
                <w:color w:val="111111"/>
                <w:kern w:val="0"/>
                <w:sz w:val="24"/>
                <w:szCs w:val="24"/>
              </w:rPr>
            </w:pPr>
            <w:r w:rsidRPr="002C0C2D">
              <w:rPr>
                <w:rFonts w:ascii="黑体" w:eastAsia="黑体" w:hAnsi="黑体" w:cs="仿宋" w:hint="eastAsia"/>
                <w:color w:val="111111"/>
                <w:kern w:val="0"/>
                <w:sz w:val="32"/>
                <w:szCs w:val="32"/>
              </w:rPr>
              <w:t>第十七条</w:t>
            </w:r>
            <w:r w:rsidRPr="002C0C2D">
              <w:rPr>
                <w:rFonts w:ascii="仿宋" w:eastAsia="仿宋" w:hAnsi="仿宋" w:cs="宋体" w:hint="eastAsia"/>
                <w:color w:val="111111"/>
                <w:kern w:val="0"/>
                <w:sz w:val="32"/>
                <w:szCs w:val="32"/>
              </w:rPr>
              <w:t xml:space="preserve"> </w:t>
            </w:r>
            <w:r w:rsidRPr="002C0C2D">
              <w:rPr>
                <w:rFonts w:ascii="仿宋_GB2312" w:eastAsia="仿宋_GB2312" w:hAnsi="仿宋" w:cs="仿宋" w:hint="eastAsia"/>
                <w:color w:val="111111"/>
                <w:kern w:val="0"/>
                <w:sz w:val="32"/>
                <w:szCs w:val="32"/>
              </w:rPr>
              <w:t>本办法自2018年7月1日起施行，由市科委、市财政局负责解释。文件施行前已认定的平台建设期补助和已申请创新券补助按原标准执行。原《杭州市科技创新服务平台建设与运行管理办法》（杭科合[2011]277号）和《关于推广应用创新券的通知》（杭科合[2015]57号）同时废止。</w:t>
            </w:r>
            <w:bookmarkStart w:id="0" w:name="_GoBack"/>
            <w:bookmarkEnd w:id="0"/>
          </w:p>
        </w:tc>
      </w:tr>
    </w:tbl>
    <w:p w:rsidR="00A66F25" w:rsidRPr="002C0C2D" w:rsidRDefault="00A66F25"/>
    <w:sectPr w:rsidR="00A66F25" w:rsidRPr="002C0C2D" w:rsidSect="00A66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0D1" w:rsidRDefault="00E730D1" w:rsidP="00A76DB4">
      <w:r>
        <w:separator/>
      </w:r>
    </w:p>
  </w:endnote>
  <w:endnote w:type="continuationSeparator" w:id="0">
    <w:p w:rsidR="00E730D1" w:rsidRDefault="00E730D1" w:rsidP="00A7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0D1" w:rsidRDefault="00E730D1" w:rsidP="00A76DB4">
      <w:r>
        <w:separator/>
      </w:r>
    </w:p>
  </w:footnote>
  <w:footnote w:type="continuationSeparator" w:id="0">
    <w:p w:rsidR="00E730D1" w:rsidRDefault="00E730D1" w:rsidP="00A7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C2D"/>
    <w:rsid w:val="000A3B43"/>
    <w:rsid w:val="002C0C2D"/>
    <w:rsid w:val="007873A5"/>
    <w:rsid w:val="00A66F25"/>
    <w:rsid w:val="00A76DB4"/>
    <w:rsid w:val="00D42C3A"/>
    <w:rsid w:val="00E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DC8F9-1AB8-4816-9711-82466F9E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25"/>
    <w:pPr>
      <w:widowControl w:val="0"/>
      <w:jc w:val="both"/>
    </w:pPr>
  </w:style>
  <w:style w:type="paragraph" w:styleId="3">
    <w:name w:val="heading 3"/>
    <w:basedOn w:val="a"/>
    <w:link w:val="3Char"/>
    <w:uiPriority w:val="9"/>
    <w:qFormat/>
    <w:rsid w:val="002C0C2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C0C2D"/>
    <w:rPr>
      <w:rFonts w:ascii="宋体" w:eastAsia="宋体" w:hAnsi="宋体" w:cs="宋体"/>
      <w:b/>
      <w:bCs/>
      <w:kern w:val="0"/>
      <w:sz w:val="27"/>
      <w:szCs w:val="27"/>
    </w:rPr>
  </w:style>
  <w:style w:type="paragraph" w:customStyle="1" w:styleId="p">
    <w:name w:val="p"/>
    <w:basedOn w:val="a"/>
    <w:rsid w:val="002C0C2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A76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DB4"/>
    <w:rPr>
      <w:sz w:val="18"/>
      <w:szCs w:val="18"/>
    </w:rPr>
  </w:style>
  <w:style w:type="paragraph" w:styleId="a4">
    <w:name w:val="footer"/>
    <w:basedOn w:val="a"/>
    <w:link w:val="Char0"/>
    <w:uiPriority w:val="99"/>
    <w:unhideWhenUsed/>
    <w:rsid w:val="00A76DB4"/>
    <w:pPr>
      <w:tabs>
        <w:tab w:val="center" w:pos="4153"/>
        <w:tab w:val="right" w:pos="8306"/>
      </w:tabs>
      <w:snapToGrid w:val="0"/>
      <w:jc w:val="left"/>
    </w:pPr>
    <w:rPr>
      <w:sz w:val="18"/>
      <w:szCs w:val="18"/>
    </w:rPr>
  </w:style>
  <w:style w:type="character" w:customStyle="1" w:styleId="Char0">
    <w:name w:val="页脚 Char"/>
    <w:basedOn w:val="a0"/>
    <w:link w:val="a4"/>
    <w:uiPriority w:val="99"/>
    <w:rsid w:val="00A76D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723957">
      <w:bodyDiv w:val="1"/>
      <w:marLeft w:val="0"/>
      <w:marRight w:val="0"/>
      <w:marTop w:val="0"/>
      <w:marBottom w:val="0"/>
      <w:divBdr>
        <w:top w:val="none" w:sz="0" w:space="0" w:color="auto"/>
        <w:left w:val="none" w:sz="0" w:space="0" w:color="auto"/>
        <w:bottom w:val="none" w:sz="0" w:space="0" w:color="auto"/>
        <w:right w:val="none" w:sz="0" w:space="0" w:color="auto"/>
      </w:divBdr>
      <w:divsChild>
        <w:div w:id="1911499394">
          <w:marLeft w:val="0"/>
          <w:marRight w:val="0"/>
          <w:marTop w:val="75"/>
          <w:marBottom w:val="0"/>
          <w:divBdr>
            <w:top w:val="single" w:sz="2" w:space="0" w:color="auto"/>
            <w:left w:val="single" w:sz="2" w:space="0" w:color="auto"/>
            <w:bottom w:val="single" w:sz="2" w:space="0" w:color="auto"/>
            <w:right w:val="single" w:sz="2" w:space="0" w:color="auto"/>
          </w:divBdr>
          <w:divsChild>
            <w:div w:id="1904179076">
              <w:marLeft w:val="0"/>
              <w:marRight w:val="0"/>
              <w:marTop w:val="0"/>
              <w:marBottom w:val="0"/>
              <w:divBdr>
                <w:top w:val="none" w:sz="0" w:space="0" w:color="auto"/>
                <w:left w:val="none" w:sz="0" w:space="0" w:color="auto"/>
                <w:bottom w:val="none" w:sz="0" w:space="0" w:color="auto"/>
                <w:right w:val="none" w:sz="0" w:space="0" w:color="auto"/>
              </w:divBdr>
            </w:div>
            <w:div w:id="954403302">
              <w:marLeft w:val="0"/>
              <w:marRight w:val="0"/>
              <w:marTop w:val="0"/>
              <w:marBottom w:val="0"/>
              <w:divBdr>
                <w:top w:val="none" w:sz="0" w:space="0" w:color="auto"/>
                <w:left w:val="none" w:sz="0" w:space="0" w:color="auto"/>
                <w:bottom w:val="none" w:sz="0" w:space="0" w:color="auto"/>
                <w:right w:val="none" w:sz="0" w:space="0" w:color="auto"/>
              </w:divBdr>
            </w:div>
            <w:div w:id="1300037816">
              <w:marLeft w:val="0"/>
              <w:marRight w:val="0"/>
              <w:marTop w:val="0"/>
              <w:marBottom w:val="0"/>
              <w:divBdr>
                <w:top w:val="none" w:sz="0" w:space="0" w:color="auto"/>
                <w:left w:val="none" w:sz="0" w:space="0" w:color="auto"/>
                <w:bottom w:val="none" w:sz="0" w:space="0" w:color="auto"/>
                <w:right w:val="none" w:sz="0" w:space="0" w:color="auto"/>
              </w:divBdr>
            </w:div>
            <w:div w:id="190537298">
              <w:marLeft w:val="0"/>
              <w:marRight w:val="0"/>
              <w:marTop w:val="0"/>
              <w:marBottom w:val="0"/>
              <w:divBdr>
                <w:top w:val="none" w:sz="0" w:space="0" w:color="auto"/>
                <w:left w:val="none" w:sz="0" w:space="0" w:color="auto"/>
                <w:bottom w:val="none" w:sz="0" w:space="0" w:color="auto"/>
                <w:right w:val="none" w:sz="0" w:space="0" w:color="auto"/>
              </w:divBdr>
            </w:div>
            <w:div w:id="760489612">
              <w:marLeft w:val="0"/>
              <w:marRight w:val="0"/>
              <w:marTop w:val="0"/>
              <w:marBottom w:val="0"/>
              <w:divBdr>
                <w:top w:val="none" w:sz="0" w:space="0" w:color="auto"/>
                <w:left w:val="none" w:sz="0" w:space="0" w:color="auto"/>
                <w:bottom w:val="none" w:sz="0" w:space="0" w:color="auto"/>
                <w:right w:val="none" w:sz="0" w:space="0" w:color="auto"/>
              </w:divBdr>
              <w:divsChild>
                <w:div w:id="499928784">
                  <w:marLeft w:val="0"/>
                  <w:marRight w:val="0"/>
                  <w:marTop w:val="0"/>
                  <w:marBottom w:val="0"/>
                  <w:divBdr>
                    <w:top w:val="none" w:sz="0" w:space="0" w:color="auto"/>
                    <w:left w:val="none" w:sz="0" w:space="0" w:color="auto"/>
                    <w:bottom w:val="none" w:sz="0" w:space="0" w:color="auto"/>
                    <w:right w:val="none" w:sz="0" w:space="0" w:color="auto"/>
                  </w:divBdr>
                </w:div>
              </w:divsChild>
            </w:div>
            <w:div w:id="1653829587">
              <w:marLeft w:val="0"/>
              <w:marRight w:val="0"/>
              <w:marTop w:val="0"/>
              <w:marBottom w:val="0"/>
              <w:divBdr>
                <w:top w:val="none" w:sz="0" w:space="0" w:color="auto"/>
                <w:left w:val="none" w:sz="0" w:space="0" w:color="auto"/>
                <w:bottom w:val="none" w:sz="0" w:space="0" w:color="auto"/>
                <w:right w:val="none" w:sz="0" w:space="0" w:color="auto"/>
              </w:divBdr>
              <w:divsChild>
                <w:div w:id="1399479101">
                  <w:marLeft w:val="0"/>
                  <w:marRight w:val="0"/>
                  <w:marTop w:val="0"/>
                  <w:marBottom w:val="0"/>
                  <w:divBdr>
                    <w:top w:val="none" w:sz="0" w:space="0" w:color="auto"/>
                    <w:left w:val="none" w:sz="0" w:space="0" w:color="auto"/>
                    <w:bottom w:val="none" w:sz="0" w:space="0" w:color="auto"/>
                    <w:right w:val="none" w:sz="0" w:space="0" w:color="auto"/>
                  </w:divBdr>
                </w:div>
              </w:divsChild>
            </w:div>
            <w:div w:id="598564492">
              <w:marLeft w:val="0"/>
              <w:marRight w:val="0"/>
              <w:marTop w:val="0"/>
              <w:marBottom w:val="0"/>
              <w:divBdr>
                <w:top w:val="none" w:sz="0" w:space="0" w:color="auto"/>
                <w:left w:val="none" w:sz="0" w:space="0" w:color="auto"/>
                <w:bottom w:val="none" w:sz="0" w:space="0" w:color="auto"/>
                <w:right w:val="none" w:sz="0" w:space="0" w:color="auto"/>
              </w:divBdr>
              <w:divsChild>
                <w:div w:id="173233339">
                  <w:marLeft w:val="0"/>
                  <w:marRight w:val="0"/>
                  <w:marTop w:val="0"/>
                  <w:marBottom w:val="0"/>
                  <w:divBdr>
                    <w:top w:val="none" w:sz="0" w:space="0" w:color="auto"/>
                    <w:left w:val="none" w:sz="0" w:space="0" w:color="auto"/>
                    <w:bottom w:val="none" w:sz="0" w:space="0" w:color="auto"/>
                    <w:right w:val="none" w:sz="0" w:space="0" w:color="auto"/>
                  </w:divBdr>
                </w:div>
              </w:divsChild>
            </w:div>
            <w:div w:id="13412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胡颖蔚</cp:lastModifiedBy>
  <cp:revision>4</cp:revision>
  <dcterms:created xsi:type="dcterms:W3CDTF">2019-01-28T03:52:00Z</dcterms:created>
  <dcterms:modified xsi:type="dcterms:W3CDTF">2020-04-21T01:39:00Z</dcterms:modified>
</cp:coreProperties>
</file>